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E/>
        <w:autoSpaceDN w:val="0"/>
        <w:bidi w:val="0"/>
        <w:adjustRightInd w:val="0"/>
        <w:snapToGrid w:val="0"/>
        <w:spacing w:after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shd w:val="solid" w:color="FFFFFF" w:fill="auto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shd w:val="solid" w:color="FFFFFF" w:fill="auto"/>
        </w:rPr>
        <w:t>关于开展2021-2022学年“十佳大学生”和第十五届“十佳自强大学生”评选活动的通知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adjustRightInd w:val="0"/>
        <w:snapToGrid w:val="0"/>
        <w:spacing w:after="0" w:line="540" w:lineRule="exact"/>
        <w:ind w:left="0" w:leftChars="0" w:right="0" w:rightChars="0"/>
        <w:textAlignment w:val="auto"/>
        <w:outlineLvl w:val="9"/>
        <w:rPr>
          <w:rFonts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班级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充分展现新时代大学生的良好精神风貌，树立德智体美劳全面发展的优秀学生典型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引导和激励全校大学生成长成才，经研究，决定开展我校2021-2022学年“十佳大学生”和第十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届“十佳自强大学生”评选活动，现将有关事项通知如下：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一、评选对象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十佳大学生：具有我校正式学籍的普通全日制学生。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十佳自强大学生：具有我校正式学籍的普通全日制家庭经济困难学生。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二、评选依据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按照《丽水学院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本专科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十佳大学生评选办法》（丽学院办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《丽水学院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本专科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十佳自强大学生评选办法》（丽学院办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号）文件执行。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三、工作安排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学院推选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trike/>
          <w:dstrike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各二级学院在个人申报、班级推荐的基础上，组织开展院级“双十佳”评选活动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在评选的基础上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双十佳”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预备人选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/>
          <w:sz w:val="32"/>
          <w:szCs w:val="32"/>
          <w:lang w:val="en-US" w:eastAsia="zh-CN"/>
        </w:rPr>
        <w:t>相关材料报至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/>
          <w:sz w:val="32"/>
          <w:szCs w:val="32"/>
        </w:rPr>
        <w:t>学生处。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学生人数超过1500人的学院，在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CN"/>
        </w:rPr>
        <w:t>“十佳大学生”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预备人选中择优推选一名学生作为定额人选，定额人选不参与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CN"/>
        </w:rPr>
        <w:t>评选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，但需进行现场展示，具体详见下表。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tbl>
      <w:tblPr>
        <w:tblStyle w:val="7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050"/>
        <w:gridCol w:w="1185"/>
        <w:gridCol w:w="1125"/>
        <w:gridCol w:w="105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3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十佳大学生</w:t>
            </w:r>
          </w:p>
        </w:tc>
        <w:tc>
          <w:tcPr>
            <w:tcW w:w="24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十佳自强大学生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拟推选预备人选名额</w:t>
            </w:r>
          </w:p>
        </w:tc>
        <w:tc>
          <w:tcPr>
            <w:tcW w:w="246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9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定额</w:t>
            </w:r>
          </w:p>
        </w:tc>
        <w:tc>
          <w:tcPr>
            <w:tcW w:w="11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竞额</w:t>
            </w:r>
          </w:p>
        </w:tc>
        <w:tc>
          <w:tcPr>
            <w:tcW w:w="10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总计</w:t>
            </w:r>
          </w:p>
        </w:tc>
        <w:tc>
          <w:tcPr>
            <w:tcW w:w="24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拟推选预备人选名额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民族学院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1298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教师教育学院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1714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生态学院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1292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工学院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2107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医学院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2167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商学院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1254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青瓷学院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962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马克思主义学院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123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职业技术学院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1847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总计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12764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专家初审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学生处对二级学院推选的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定额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人选进行审核，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组织专家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对十佳大学生竞额人选及十佳自强大学生预备人选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进行评审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根据初审成绩确定9名十佳大学生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正式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入围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候选人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及13名十佳自强大学生正式入围候选人。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广泛宣传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4月下旬至5月上旬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i w:val="0"/>
          <w:iCs w:val="0"/>
          <w:color w:val="000000"/>
          <w:sz w:val="32"/>
          <w:szCs w:val="32"/>
          <w:u w:val="none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学生处通过线上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z w:val="32"/>
          <w:szCs w:val="32"/>
          <w:u w:val="none"/>
          <w:lang w:val="en-US" w:eastAsia="zh-CN"/>
        </w:rPr>
        <w:t>线下等有效途径对入围候选人进行广泛宣传。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4.现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场展示：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（1）十佳大学生现场展示环节由推荐视频展示、自我陈述、即兴答题三个环节组成。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（2）十佳自强大学生现场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展示环节由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推荐视频展示、自我陈述两个环节组成。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现场展示环节由专家评委和学生代表评委进行评分。</w:t>
      </w:r>
      <w:r>
        <w:rPr>
          <w:rFonts w:hint="eastAsia" w:ascii="仿宋_GB2312" w:eastAsia="仿宋_GB2312"/>
          <w:sz w:val="32"/>
          <w:szCs w:val="32"/>
        </w:rPr>
        <w:t>个人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展示</w:t>
      </w:r>
      <w:r>
        <w:rPr>
          <w:rFonts w:hint="eastAsia" w:ascii="仿宋_GB2312" w:eastAsia="仿宋_GB2312"/>
          <w:sz w:val="32"/>
          <w:szCs w:val="32"/>
        </w:rPr>
        <w:t>总时长不超过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分钟，其中推荐视频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分钟、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自我陈述5</w:t>
      </w:r>
      <w:r>
        <w:rPr>
          <w:rFonts w:hint="eastAsia" w:ascii="仿宋_GB2312" w:eastAsia="仿宋_GB2312"/>
          <w:sz w:val="32"/>
          <w:szCs w:val="32"/>
        </w:rPr>
        <w:t>分钟、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即兴答题</w:t>
      </w:r>
      <w:r>
        <w:rPr>
          <w:rFonts w:hint="eastAsia" w:ascii="仿宋_GB2312" w:eastAsia="仿宋_GB2312"/>
          <w:sz w:val="32"/>
          <w:szCs w:val="32"/>
        </w:rPr>
        <w:t>2分钟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5.评定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表彰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入围候选人总成绩=专家初评（50%）+现场展示（50%），其中现场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CN"/>
        </w:rPr>
        <w:t>展示部分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专家评委打分占比40%，学生代表打分占比10%。根据入围候选人成绩进行赋分排名，确定“双十佳”人选。校学生思政工作领导小组审定双十佳名单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结果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在全校范围内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公示5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个工作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日，无异议后发文表彰。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四、有关要求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1.精心组织，加强宣传。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各二级学院要以评选活动为契机，加强宣传，营造氛围，弘扬正能量，引导广大学生积极践行社会主义价值观。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2.坚持原则，严格程序。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评选要坚持“公开、公平、公正”和“好中选优”的原则，严格遵照评选条件和评选程序，二级学院推荐的评选学生须经党政联席会议审议通过，并在学院范围内公示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3.树立典型，示范引领。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评选结束后，各二级学院要充分挖掘十佳大学生、十佳自强大学生的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典型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各种形式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宣传，发挥示范引领作用。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附件：1.丽水学院 “十佳大学生”申请表；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right="0" w:rightChars="0" w:firstLine="1600" w:firstLineChars="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2.丽水学院 “十佳自强大学生”申请表；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right="0" w:rightChars="0" w:firstLine="1600" w:firstLineChars="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3.丽水学院“十佳大学生”“十佳自强大学生”推选学生情况汇总表。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bidi w:val="0"/>
        <w:adjustRightInd w:val="0"/>
        <w:snapToGrid w:val="0"/>
        <w:spacing w:after="0" w:line="54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学生处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bidi w:val="0"/>
        <w:adjustRightInd w:val="0"/>
        <w:snapToGrid w:val="0"/>
        <w:spacing w:after="0" w:line="54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2022年3月29日    </w:t>
      </w:r>
    </w:p>
    <w:sectPr>
      <w:pgSz w:w="11906" w:h="16838"/>
      <w:pgMar w:top="1440" w:right="1797" w:bottom="1440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3DC3"/>
    <w:rsid w:val="00003F08"/>
    <w:rsid w:val="00007382"/>
    <w:rsid w:val="0002258D"/>
    <w:rsid w:val="00036FE2"/>
    <w:rsid w:val="0003792F"/>
    <w:rsid w:val="00040DE8"/>
    <w:rsid w:val="00041FAC"/>
    <w:rsid w:val="00055C6C"/>
    <w:rsid w:val="00057DFC"/>
    <w:rsid w:val="00057FA4"/>
    <w:rsid w:val="0009498E"/>
    <w:rsid w:val="0009579D"/>
    <w:rsid w:val="000A3860"/>
    <w:rsid w:val="000B4976"/>
    <w:rsid w:val="000D33B9"/>
    <w:rsid w:val="000D62CF"/>
    <w:rsid w:val="000F090E"/>
    <w:rsid w:val="00127BCF"/>
    <w:rsid w:val="00137208"/>
    <w:rsid w:val="00140277"/>
    <w:rsid w:val="00146BE7"/>
    <w:rsid w:val="001828FD"/>
    <w:rsid w:val="001A3886"/>
    <w:rsid w:val="001D4AF1"/>
    <w:rsid w:val="00227424"/>
    <w:rsid w:val="00233DDB"/>
    <w:rsid w:val="00266242"/>
    <w:rsid w:val="0029622D"/>
    <w:rsid w:val="002B51BC"/>
    <w:rsid w:val="002C22D0"/>
    <w:rsid w:val="002D0250"/>
    <w:rsid w:val="002D5773"/>
    <w:rsid w:val="002F0564"/>
    <w:rsid w:val="0030052D"/>
    <w:rsid w:val="00303583"/>
    <w:rsid w:val="00314942"/>
    <w:rsid w:val="00323B43"/>
    <w:rsid w:val="00395C07"/>
    <w:rsid w:val="003D09DF"/>
    <w:rsid w:val="003D37D8"/>
    <w:rsid w:val="003E22E3"/>
    <w:rsid w:val="00426133"/>
    <w:rsid w:val="004358AB"/>
    <w:rsid w:val="00443B5A"/>
    <w:rsid w:val="00445AE8"/>
    <w:rsid w:val="004477A3"/>
    <w:rsid w:val="004670E0"/>
    <w:rsid w:val="004A5E30"/>
    <w:rsid w:val="004B21BF"/>
    <w:rsid w:val="004C56DC"/>
    <w:rsid w:val="004D480B"/>
    <w:rsid w:val="004E3EDA"/>
    <w:rsid w:val="00505A60"/>
    <w:rsid w:val="00507358"/>
    <w:rsid w:val="00535170"/>
    <w:rsid w:val="005609F4"/>
    <w:rsid w:val="00566DD6"/>
    <w:rsid w:val="00577FC5"/>
    <w:rsid w:val="005F6423"/>
    <w:rsid w:val="006022AB"/>
    <w:rsid w:val="00625578"/>
    <w:rsid w:val="00625B28"/>
    <w:rsid w:val="00655C62"/>
    <w:rsid w:val="00695262"/>
    <w:rsid w:val="00696345"/>
    <w:rsid w:val="006B03AA"/>
    <w:rsid w:val="006B3DCD"/>
    <w:rsid w:val="006F6FDF"/>
    <w:rsid w:val="00714DE5"/>
    <w:rsid w:val="00740A03"/>
    <w:rsid w:val="0076510A"/>
    <w:rsid w:val="00780630"/>
    <w:rsid w:val="00793FE5"/>
    <w:rsid w:val="007A4FF8"/>
    <w:rsid w:val="007D4FEE"/>
    <w:rsid w:val="007E4228"/>
    <w:rsid w:val="00801FF0"/>
    <w:rsid w:val="00815449"/>
    <w:rsid w:val="008B7726"/>
    <w:rsid w:val="008E2AE4"/>
    <w:rsid w:val="008F152C"/>
    <w:rsid w:val="0091279A"/>
    <w:rsid w:val="0091621E"/>
    <w:rsid w:val="009209EA"/>
    <w:rsid w:val="00931717"/>
    <w:rsid w:val="00942AF8"/>
    <w:rsid w:val="00977822"/>
    <w:rsid w:val="009F08FA"/>
    <w:rsid w:val="009F7F73"/>
    <w:rsid w:val="00A6599F"/>
    <w:rsid w:val="00A9524A"/>
    <w:rsid w:val="00AD5D51"/>
    <w:rsid w:val="00AE1928"/>
    <w:rsid w:val="00AF1B84"/>
    <w:rsid w:val="00B17155"/>
    <w:rsid w:val="00B36378"/>
    <w:rsid w:val="00B5248A"/>
    <w:rsid w:val="00B61003"/>
    <w:rsid w:val="00B632AF"/>
    <w:rsid w:val="00B80323"/>
    <w:rsid w:val="00B82238"/>
    <w:rsid w:val="00BF0747"/>
    <w:rsid w:val="00BF14BA"/>
    <w:rsid w:val="00C3692F"/>
    <w:rsid w:val="00C676F0"/>
    <w:rsid w:val="00C76A15"/>
    <w:rsid w:val="00C86819"/>
    <w:rsid w:val="00CB0C12"/>
    <w:rsid w:val="00D228B8"/>
    <w:rsid w:val="00D31D50"/>
    <w:rsid w:val="00D34948"/>
    <w:rsid w:val="00D50A4A"/>
    <w:rsid w:val="00D51597"/>
    <w:rsid w:val="00D578E7"/>
    <w:rsid w:val="00D76A4B"/>
    <w:rsid w:val="00D87E47"/>
    <w:rsid w:val="00D95360"/>
    <w:rsid w:val="00DF353A"/>
    <w:rsid w:val="00E26C84"/>
    <w:rsid w:val="00E40C98"/>
    <w:rsid w:val="00E5285F"/>
    <w:rsid w:val="00E76730"/>
    <w:rsid w:val="00E76B4D"/>
    <w:rsid w:val="00E8622C"/>
    <w:rsid w:val="00E9148A"/>
    <w:rsid w:val="00E927C8"/>
    <w:rsid w:val="00EC52C0"/>
    <w:rsid w:val="00ED736D"/>
    <w:rsid w:val="00ED7ADE"/>
    <w:rsid w:val="00F0753A"/>
    <w:rsid w:val="00F31B11"/>
    <w:rsid w:val="00F45F79"/>
    <w:rsid w:val="00F96117"/>
    <w:rsid w:val="00FA664E"/>
    <w:rsid w:val="00FD6FAD"/>
    <w:rsid w:val="00FD7897"/>
    <w:rsid w:val="00FE7839"/>
    <w:rsid w:val="00FF75BE"/>
    <w:rsid w:val="02EB04AA"/>
    <w:rsid w:val="03500022"/>
    <w:rsid w:val="036755CD"/>
    <w:rsid w:val="037963A4"/>
    <w:rsid w:val="037D10A7"/>
    <w:rsid w:val="04AE177C"/>
    <w:rsid w:val="05B25F3C"/>
    <w:rsid w:val="0A0E68F0"/>
    <w:rsid w:val="0A3F0F74"/>
    <w:rsid w:val="0A5E44E9"/>
    <w:rsid w:val="0DC2345D"/>
    <w:rsid w:val="0DD72864"/>
    <w:rsid w:val="10F05611"/>
    <w:rsid w:val="137D6AE9"/>
    <w:rsid w:val="161F20F6"/>
    <w:rsid w:val="179C6100"/>
    <w:rsid w:val="1ABF161C"/>
    <w:rsid w:val="1BB21FF5"/>
    <w:rsid w:val="1EB57523"/>
    <w:rsid w:val="1FF0245C"/>
    <w:rsid w:val="25B50BC4"/>
    <w:rsid w:val="27E85EB4"/>
    <w:rsid w:val="286740D6"/>
    <w:rsid w:val="292E51E2"/>
    <w:rsid w:val="2CDF028F"/>
    <w:rsid w:val="2DBC1307"/>
    <w:rsid w:val="2FA23C12"/>
    <w:rsid w:val="3350259B"/>
    <w:rsid w:val="3488753F"/>
    <w:rsid w:val="3AE61F68"/>
    <w:rsid w:val="3E3C49E4"/>
    <w:rsid w:val="40A94377"/>
    <w:rsid w:val="41334631"/>
    <w:rsid w:val="4412019F"/>
    <w:rsid w:val="4743636E"/>
    <w:rsid w:val="48100303"/>
    <w:rsid w:val="4C6F75EE"/>
    <w:rsid w:val="4E727561"/>
    <w:rsid w:val="4F8234C3"/>
    <w:rsid w:val="520D1D57"/>
    <w:rsid w:val="52910A0E"/>
    <w:rsid w:val="53FF0079"/>
    <w:rsid w:val="56EF76FA"/>
    <w:rsid w:val="5AE20E21"/>
    <w:rsid w:val="5B5C23A7"/>
    <w:rsid w:val="5F716F9E"/>
    <w:rsid w:val="68695756"/>
    <w:rsid w:val="6D405225"/>
    <w:rsid w:val="6D754294"/>
    <w:rsid w:val="70624929"/>
    <w:rsid w:val="70FF110F"/>
    <w:rsid w:val="719C2C45"/>
    <w:rsid w:val="7317428E"/>
    <w:rsid w:val="754B38B5"/>
    <w:rsid w:val="777BBCB8"/>
    <w:rsid w:val="7847613A"/>
    <w:rsid w:val="F5C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pPr>
      <w:spacing w:after="0"/>
    </w:pPr>
    <w:rPr>
      <w:sz w:val="18"/>
      <w:szCs w:val="20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</w:pPr>
    <w:rPr>
      <w:sz w:val="18"/>
      <w:szCs w:val="20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20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4"/>
    <w:semiHidden/>
    <w:qFormat/>
    <w:locked/>
    <w:uiPriority w:val="99"/>
    <w:rPr>
      <w:rFonts w:ascii="Tahoma" w:hAnsi="Tahoma"/>
      <w:sz w:val="18"/>
    </w:rPr>
  </w:style>
  <w:style w:type="character" w:customStyle="1" w:styleId="10">
    <w:name w:val="页脚 Char"/>
    <w:link w:val="3"/>
    <w:semiHidden/>
    <w:qFormat/>
    <w:locked/>
    <w:uiPriority w:val="99"/>
    <w:rPr>
      <w:rFonts w:ascii="Tahoma" w:hAnsi="Tahoma"/>
      <w:sz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link w:val="2"/>
    <w:semiHidden/>
    <w:qFormat/>
    <w:locked/>
    <w:uiPriority w:val="99"/>
    <w:rPr>
      <w:rFonts w:ascii="Tahoma" w:hAnsi="Tahoma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991</Words>
  <Characters>1043</Characters>
  <Lines>34</Lines>
  <Paragraphs>9</Paragraphs>
  <TotalTime>5</TotalTime>
  <ScaleCrop>false</ScaleCrop>
  <LinksUpToDate>false</LinksUpToDate>
  <CharactersWithSpaces>1081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2017-05-04T19:39:00Z</dcterms:created>
  <dc:creator>Administrator</dc:creator>
  <cp:lastModifiedBy>Administrator</cp:lastModifiedBy>
  <cp:lastPrinted>2020-06-28T23:30:00Z</cp:lastPrinted>
  <dcterms:modified xsi:type="dcterms:W3CDTF">2022-04-05T00:32:18Z</dcterms:modified>
  <dc:title>丽水学院院长办公室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